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before="100" w:beforeAutospacing="1" w:after="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</w:rPr>
        <w:t>汕头市住房和城乡建设局特殊建设工程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</w:rPr>
        <w:t>消防验收办事指南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一、受理范围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由汕头市住房和城乡建设局核发建设工程施工许可证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val="en-US" w:eastAsia="zh-CN"/>
        </w:rPr>
        <w:t>以及跨汕头市下辖行政区（县）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，按规定必须进行消防验收的特殊建设工程项目。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二、验收依据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《建设工程消防设计审查验收管理暂行规定》（住房和城乡建设部令第51号 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三、办理时限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四、申报条件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  <w:t>建设工程竣工验收合格，且建设单位已组织对建设工程是否符合下列要求进行查验：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  <w:t>（一）完成工程消防设计和合同约定的消防各项内容；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  <w:t>（二）有完整的工程消防技术档案和施工管理资料（含涉及消防的建筑材料、建筑构配件和设备的进场试验报告）；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  <w:t>（三）建设单位对工程涉及消防的各分部分项工程验收合格；施工、设计、工程监理、技术服务等单位确认工程消防质量符合有关标准；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sz w:val="32"/>
          <w:szCs w:val="32"/>
        </w:rPr>
        <w:t>（四）消防设施性能、系统功能联调联试等内容检测合格。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</w:rPr>
        <w:t>　五、提供材料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（一）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特殊建设工程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消防验收申请表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材料形式：纸质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原件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1份；电子版为原件彩色扫描件，采用PDF格式。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工程竣工验收报告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材料形式：纸质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原件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1份；电子版为原件彩色扫描件，采用PDF格式。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建设工程竣工验收消防查验报告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right="0" w:firstLine="64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材料形式：纸质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原件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1份；电子版为原件彩色扫描件，采用PDF格式。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left="0" w:leftChars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涉及消防的建设工程竣工图纸（包括与建筑防火和消防设施相关的竣工图纸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材料形式：⑴纸质竣工图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应采用通过消防设计审查的设计图纸作为竣工图纸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有重大设计变更需重新绘制竣工图的，还须设计单位签章确认。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⑵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电子竣工图纸应采用PDF格式。电子竣工图纸应是在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</w:rPr>
        <w:t>消防设计审查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fill="FFFFFF"/>
          <w:lang w:val="en-US" w:eastAsia="zh-CN"/>
        </w:rPr>
        <w:t>通过的电子版图纸上进行竣工图电子签章后加盖建设单位公章确认，电子签章应符合《中华人民共和国电子签名法》要求。图纸无电子签章应上传盖章版纸质图纸彩色扫描件，扫描件分辨率不低于300dpi。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  <w:lang w:val="en-US" w:eastAsia="zh-CN"/>
        </w:rPr>
        <w:t>六、办理程序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eastAsia="zh-CN"/>
        </w:rPr>
        <w:t>提交资料。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val="en-US" w:eastAsia="zh-CN"/>
        </w:rPr>
        <w:t>根据《关于进一步落实工程竣工联合验收制度的通知》（汕市建审办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〔2021〕37号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val="en-US" w:eastAsia="zh-CN"/>
        </w:rPr>
        <w:t>）精神，在本市行政区域内新建、扩建、改建的房屋建筑和市政基础设施工程，实现规划、土地、消防验收（备案）、人防、档案等事项竣工联合验收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eastAsia="zh-CN"/>
        </w:rPr>
        <w:t>。申报单位按照办事指南要求，向市行政服务中心建设类综合窗口提交申报资料。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eastAsia="zh-CN"/>
        </w:rPr>
        <w:t>现场评定。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由我局委托的市建设工程质量与安全中心进行材料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val="en-US" w:eastAsia="zh-CN"/>
        </w:rPr>
        <w:t>形式审查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和现场评定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（三）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  <w:lang w:eastAsia="zh-CN"/>
        </w:rPr>
        <w:t>出具意见。</w:t>
      </w: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对符合下列条件的，由我局出具消防验收合格意见：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1、申请材料齐全、符合法定形式；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2、工程竣工验收报告内容完备；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3、涉及消防的建设工程竣工图纸与经审查合格的消防设计文件相符；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4、现场评定结论合格。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对不符合上述规定条件的，由我局出具消防验收不合格意见，并说明理由。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黑体" w:hAnsi="黑体" w:eastAsia="黑体" w:cs="黑体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  <w:lang w:val="en-US" w:eastAsia="zh-CN"/>
        </w:rPr>
        <w:t>七、办理地点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市行政服务中心三楼西厅市住建局窗口（长平路财政大楼副楼三楼西侧）。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八、咨询电话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jc w:val="left"/>
        <w:rPr>
          <w:rFonts w:hint="eastAsia" w:ascii="仿宋_GB2312" w:hAnsi="仿宋_GB2312" w:eastAsia="仿宋_GB2312" w:cs="仿宋_GB2312"/>
          <w:color w:val="42424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24242"/>
          <w:kern w:val="0"/>
          <w:sz w:val="32"/>
          <w:szCs w:val="32"/>
        </w:rPr>
        <w:t>咨询电话：0754-88489801（窗口）、0754-88572050（质</w:t>
      </w:r>
      <w:r>
        <w:rPr>
          <w:rFonts w:hint="eastAsia" w:ascii="仿宋_GB2312" w:hAnsi="仿宋_GB2312" w:eastAsia="仿宋_GB2312" w:cs="仿宋_GB2312"/>
          <w:color w:val="424242"/>
          <w:kern w:val="0"/>
          <w:sz w:val="32"/>
          <w:szCs w:val="32"/>
        </w:rPr>
        <w:t>安科）。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EB6BA"/>
    <w:multiLevelType w:val="singleLevel"/>
    <w:tmpl w:val="21FEB6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zYwOTY5MWRkZTA4MWNmY2FhYWVmOWM2ZmFkNzQifQ=="/>
  </w:docVars>
  <w:rsids>
    <w:rsidRoot w:val="00D33456"/>
    <w:rsid w:val="00052518"/>
    <w:rsid w:val="001226D0"/>
    <w:rsid w:val="001443B3"/>
    <w:rsid w:val="002A532B"/>
    <w:rsid w:val="002F1078"/>
    <w:rsid w:val="003A77C2"/>
    <w:rsid w:val="005F2458"/>
    <w:rsid w:val="00770B67"/>
    <w:rsid w:val="00962DB9"/>
    <w:rsid w:val="00987A28"/>
    <w:rsid w:val="00A01B21"/>
    <w:rsid w:val="00AA418D"/>
    <w:rsid w:val="00AE5E12"/>
    <w:rsid w:val="00B53BC8"/>
    <w:rsid w:val="00CF0842"/>
    <w:rsid w:val="00D33456"/>
    <w:rsid w:val="028D1E8C"/>
    <w:rsid w:val="02973540"/>
    <w:rsid w:val="0AC00A36"/>
    <w:rsid w:val="136B5AC1"/>
    <w:rsid w:val="17995C57"/>
    <w:rsid w:val="17ED4A96"/>
    <w:rsid w:val="1C967978"/>
    <w:rsid w:val="217D0000"/>
    <w:rsid w:val="26497199"/>
    <w:rsid w:val="26777FAF"/>
    <w:rsid w:val="268E663B"/>
    <w:rsid w:val="270843FA"/>
    <w:rsid w:val="2DDB3C86"/>
    <w:rsid w:val="49B07D5B"/>
    <w:rsid w:val="4B3D2F5E"/>
    <w:rsid w:val="58571C8A"/>
    <w:rsid w:val="65F42CD6"/>
    <w:rsid w:val="679C3948"/>
    <w:rsid w:val="6C4A5AAB"/>
    <w:rsid w:val="6D737ED2"/>
    <w:rsid w:val="72D8052D"/>
    <w:rsid w:val="7F040E31"/>
    <w:rsid w:val="7FB53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1080</Words>
  <Characters>1116</Characters>
  <Lines>7</Lines>
  <Paragraphs>1</Paragraphs>
  <TotalTime>1</TotalTime>
  <ScaleCrop>false</ScaleCrop>
  <LinksUpToDate>false</LinksUpToDate>
  <CharactersWithSpaces>1120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2020-05-31T09:51:00Z</dcterms:created>
  <dc:creator>Administrator</dc:creator>
  <cp:lastModifiedBy>Administrator</cp:lastModifiedBy>
  <cp:lastPrinted>2023-04-17T01:35:00Z</cp:lastPrinted>
  <dcterms:modified xsi:type="dcterms:W3CDTF">2023-08-02T09:18:54Z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59261383308546FFB7C6BFC235119F2C_13</vt:lpwstr>
  </property>
</Properties>
</file>